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E800E">
      <w:pPr>
        <w:rPr>
          <w:rFonts w:eastAsia="宋体" w:asciiTheme="minorHAnsi" w:hAnsiTheme="minorHAnsi" w:cstheme="minorHAnsi"/>
          <w:b/>
          <w:bCs/>
          <w:i/>
          <w:iCs/>
          <w:lang w:val="en-US" w:eastAsia="zh-CN"/>
        </w:rPr>
      </w:pPr>
      <w:bookmarkStart w:id="0" w:name="_GoBack"/>
      <w:bookmarkEnd w:id="0"/>
      <w:r>
        <w:rPr>
          <w:rFonts w:eastAsia="宋体" w:asciiTheme="minorHAnsi" w:hAnsiTheme="minorHAnsi" w:cstheme="minorHAnsi"/>
          <w:b/>
          <w:bCs/>
          <w:lang w:val="en-US" w:eastAsia="zh-CN"/>
        </w:rPr>
        <w:t xml:space="preserve">ANNEX B: The main content of the revised draft of the </w:t>
      </w:r>
      <w:r>
        <w:rPr>
          <w:rFonts w:eastAsia="宋体" w:asciiTheme="minorHAnsi" w:hAnsiTheme="minorHAnsi" w:cstheme="minorHAnsi"/>
          <w:b/>
          <w:bCs/>
          <w:i/>
          <w:iCs/>
          <w:lang w:val="en-US" w:eastAsia="zh-CN"/>
        </w:rPr>
        <w:t>Framework and Procedures for the IMO Member State Audit Scheme (IMSAS)</w:t>
      </w:r>
    </w:p>
    <w:p w14:paraId="775410C5">
      <w:pPr>
        <w:pStyle w:val="4"/>
        <w:widowControl/>
        <w:jc w:val="both"/>
        <w:rPr>
          <w:rFonts w:asciiTheme="minorHAnsi" w:hAnsiTheme="minorHAnsi" w:cstheme="minorHAnsi"/>
          <w:sz w:val="22"/>
          <w:szCs w:val="22"/>
        </w:rPr>
      </w:pPr>
    </w:p>
    <w:p w14:paraId="464617D3">
      <w:pPr>
        <w:pStyle w:val="4"/>
        <w:widowControl/>
        <w:ind w:firstLine="0" w:firstLineChars="0"/>
        <w:jc w:val="both"/>
        <w:rPr>
          <w:rFonts w:hint="default" w:asciiTheme="minorHAnsi" w:hAnsiTheme="minorHAnsi" w:cstheme="minorHAnsi"/>
          <w:sz w:val="22"/>
          <w:szCs w:val="22"/>
        </w:rPr>
      </w:pPr>
      <w:r>
        <w:rPr>
          <w:rFonts w:hint="default" w:asciiTheme="minorHAnsi" w:hAnsiTheme="minorHAnsi" w:cstheme="minorHAnsi"/>
          <w:sz w:val="22"/>
          <w:szCs w:val="22"/>
        </w:rPr>
        <w:t xml:space="preserve">The IMO Member State Audit Scheme which commenced voluntarily in 2006, transformed into mandatory status in January 2016. The Audit Scheme aims to promote the consistent and effective implementation of IMO instruments, and assist Member States </w:t>
      </w:r>
      <w:r>
        <w:rPr>
          <w:rFonts w:asciiTheme="minorHAnsi" w:hAnsiTheme="minorHAnsi" w:cstheme="minorHAnsi"/>
          <w:sz w:val="22"/>
          <w:szCs w:val="22"/>
        </w:rPr>
        <w:t xml:space="preserve">in </w:t>
      </w:r>
      <w:r>
        <w:rPr>
          <w:rFonts w:hint="default" w:asciiTheme="minorHAnsi" w:hAnsiTheme="minorHAnsi" w:cstheme="minorHAnsi"/>
          <w:sz w:val="22"/>
          <w:szCs w:val="22"/>
        </w:rPr>
        <w:t>improv</w:t>
      </w:r>
      <w:r>
        <w:rPr>
          <w:rFonts w:asciiTheme="minorHAnsi" w:hAnsiTheme="minorHAnsi" w:cstheme="minorHAnsi"/>
          <w:sz w:val="22"/>
          <w:szCs w:val="22"/>
        </w:rPr>
        <w:t>ing</w:t>
      </w:r>
      <w:r>
        <w:rPr>
          <w:rFonts w:hint="default" w:asciiTheme="minorHAnsi" w:hAnsiTheme="minorHAnsi" w:cstheme="minorHAnsi"/>
          <w:sz w:val="22"/>
          <w:szCs w:val="22"/>
        </w:rPr>
        <w:t xml:space="preserve"> their capabilities and overall performance in complying with the IMO instruments to which they are a Party.</w:t>
      </w:r>
    </w:p>
    <w:p w14:paraId="0A0CD24C">
      <w:pPr>
        <w:pStyle w:val="4"/>
        <w:widowControl/>
        <w:ind w:firstLine="0" w:firstLineChars="0"/>
        <w:jc w:val="both"/>
        <w:rPr>
          <w:rFonts w:asciiTheme="minorHAnsi" w:hAnsiTheme="minorHAnsi" w:cstheme="minorHAnsi"/>
          <w:sz w:val="22"/>
          <w:szCs w:val="22"/>
        </w:rPr>
      </w:pPr>
    </w:p>
    <w:p w14:paraId="28EC5C84">
      <w:pPr>
        <w:pStyle w:val="7"/>
        <w:numPr>
          <w:ilvl w:val="0"/>
          <w:numId w:val="0"/>
        </w:numPr>
        <w:spacing w:after="0"/>
        <w:ind w:left="0" w:firstLine="0"/>
        <w:rPr>
          <w:rFonts w:eastAsia="宋体" w:asciiTheme="minorHAnsi" w:hAnsiTheme="minorHAnsi" w:cstheme="minorHAnsi"/>
          <w:lang w:val="en-US" w:eastAsia="zh-CN"/>
        </w:rPr>
      </w:pPr>
      <w:r>
        <w:rPr>
          <w:rFonts w:eastAsia="宋体" w:asciiTheme="minorHAnsi" w:hAnsiTheme="minorHAnsi" w:cstheme="minorHAnsi"/>
          <w:lang w:val="en-US" w:eastAsia="zh-CN"/>
        </w:rPr>
        <w:t>The first cycle of audits is scheduled to conclude in 2025. According to IMO document C 134/11 (April 2025), a total of 144 States and associate members have been audited, with 22 audits currently still in progress.</w:t>
      </w:r>
    </w:p>
    <w:p w14:paraId="39385FDA">
      <w:pPr>
        <w:pStyle w:val="4"/>
        <w:widowControl/>
        <w:jc w:val="both"/>
        <w:rPr>
          <w:rFonts w:asciiTheme="minorHAnsi" w:hAnsiTheme="minorHAnsi" w:cstheme="minorHAnsi"/>
          <w:sz w:val="22"/>
          <w:szCs w:val="22"/>
        </w:rPr>
      </w:pPr>
    </w:p>
    <w:p w14:paraId="0EA6028E">
      <w:pPr>
        <w:pStyle w:val="4"/>
        <w:widowControl/>
        <w:ind w:firstLine="0" w:firstLineChars="0"/>
        <w:jc w:val="both"/>
        <w:rPr>
          <w:rFonts w:hint="default" w:asciiTheme="minorHAnsi" w:hAnsiTheme="minorHAnsi" w:cstheme="minorHAnsi"/>
          <w:sz w:val="22"/>
          <w:szCs w:val="22"/>
        </w:rPr>
      </w:pPr>
      <w:r>
        <w:rPr>
          <w:rFonts w:hint="default" w:asciiTheme="minorHAnsi" w:hAnsiTheme="minorHAnsi" w:cstheme="minorHAnsi"/>
          <w:sz w:val="22"/>
          <w:szCs w:val="22"/>
        </w:rPr>
        <w:t>To advance the second cycle of audits, IMO has initiated revisions to the</w:t>
      </w:r>
      <w:r>
        <w:rPr>
          <w:rFonts w:hint="default" w:asciiTheme="minorHAnsi" w:hAnsiTheme="minorHAnsi" w:cstheme="minorHAnsi"/>
          <w:i/>
          <w:iCs/>
          <w:sz w:val="22"/>
          <w:szCs w:val="22"/>
        </w:rPr>
        <w:t xml:space="preserve"> Framework and Procedures for the IMO Member State Audit Scheme </w:t>
      </w:r>
      <w:r>
        <w:rPr>
          <w:rFonts w:hint="default" w:asciiTheme="minorHAnsi" w:hAnsiTheme="minorHAnsi" w:cstheme="minorHAnsi"/>
          <w:sz w:val="22"/>
          <w:szCs w:val="22"/>
        </w:rPr>
        <w:t xml:space="preserve">and the IMO Auditor's Manual. The </w:t>
      </w:r>
      <w:r>
        <w:rPr>
          <w:rFonts w:hint="default" w:asciiTheme="minorHAnsi" w:hAnsiTheme="minorHAnsi" w:cstheme="minorHAnsi"/>
          <w:i/>
          <w:iCs/>
          <w:sz w:val="22"/>
          <w:szCs w:val="22"/>
        </w:rPr>
        <w:t>Framework and Procedures for the IMO Member State Audit Scheme</w:t>
      </w:r>
      <w:r>
        <w:rPr>
          <w:rFonts w:hint="default" w:asciiTheme="minorHAnsi" w:hAnsiTheme="minorHAnsi" w:cstheme="minorHAnsi"/>
          <w:sz w:val="22"/>
          <w:szCs w:val="22"/>
        </w:rPr>
        <w:t> primarily involves revisions in the following three aspects:</w:t>
      </w:r>
    </w:p>
    <w:p w14:paraId="54999DA5">
      <w:pPr>
        <w:pStyle w:val="4"/>
        <w:widowControl/>
        <w:numPr>
          <w:ilvl w:val="0"/>
          <w:numId w:val="0"/>
        </w:numPr>
        <w:ind w:left="0" w:firstLine="0"/>
        <w:jc w:val="both"/>
        <w:rPr>
          <w:rFonts w:asciiTheme="minorHAnsi" w:hAnsiTheme="minorHAnsi" w:cstheme="minorHAnsi"/>
          <w:sz w:val="22"/>
          <w:szCs w:val="22"/>
        </w:rPr>
      </w:pPr>
    </w:p>
    <w:p w14:paraId="129734AA">
      <w:pPr>
        <w:pStyle w:val="7"/>
        <w:numPr>
          <w:ilvl w:val="0"/>
          <w:numId w:val="2"/>
        </w:numPr>
        <w:spacing w:after="0"/>
        <w:ind w:left="420" w:hanging="420"/>
        <w:rPr>
          <w:rFonts w:eastAsia="宋体" w:asciiTheme="minorHAnsi" w:hAnsiTheme="minorHAnsi" w:cstheme="minorHAnsi"/>
          <w:b/>
          <w:bCs/>
          <w:lang w:val="en-US" w:eastAsia="zh-CN"/>
        </w:rPr>
      </w:pPr>
      <w:r>
        <w:rPr>
          <w:rFonts w:eastAsia="宋体" w:asciiTheme="minorHAnsi" w:hAnsiTheme="minorHAnsi" w:cstheme="minorHAnsi"/>
          <w:b/>
          <w:bCs/>
          <w:color w:val="000000"/>
          <w:kern w:val="2"/>
          <w:lang w:val="en-US" w:eastAsia="zh-CN" w:bidi="ar"/>
        </w:rPr>
        <w:t>Increased transparency </w:t>
      </w:r>
    </w:p>
    <w:p w14:paraId="4DCC1A26">
      <w:pPr>
        <w:pStyle w:val="7"/>
        <w:numPr>
          <w:ilvl w:val="0"/>
          <w:numId w:val="0"/>
        </w:numPr>
        <w:tabs>
          <w:tab w:val="clear" w:pos="567"/>
        </w:tabs>
        <w:spacing w:after="0"/>
        <w:ind w:left="420" w:firstLine="0"/>
        <w:rPr>
          <w:rFonts w:eastAsia="宋体" w:asciiTheme="minorHAnsi" w:hAnsiTheme="minorHAnsi" w:cstheme="minorHAnsi"/>
          <w:lang w:val="en-US" w:eastAsia="zh-CN"/>
        </w:rPr>
      </w:pPr>
      <w:r>
        <w:rPr>
          <w:rFonts w:eastAsia="宋体" w:asciiTheme="minorHAnsi" w:hAnsiTheme="minorHAnsi" w:cstheme="minorHAnsi"/>
          <w:lang w:val="en-US" w:eastAsia="zh-CN"/>
        </w:rPr>
        <w:t>The executive summary report (ESR), corrective action plan (CAP), audit final report, Member State's report on progress of implementation of CAP and audit follow-up report should be released to all Member States; and a limited disclosure of information depicting the level of effective implementation of the III Code, should be made available in a graphical form to the public through a web-based platform.</w:t>
      </w:r>
    </w:p>
    <w:p w14:paraId="0F30C7F3">
      <w:pPr>
        <w:pStyle w:val="7"/>
        <w:numPr>
          <w:ilvl w:val="0"/>
          <w:numId w:val="0"/>
        </w:numPr>
        <w:spacing w:after="0"/>
        <w:ind w:left="0" w:firstLine="0" w:firstLineChars="0"/>
        <w:rPr>
          <w:rFonts w:eastAsia="宋体" w:asciiTheme="minorHAnsi" w:hAnsiTheme="minorHAnsi" w:cstheme="minorHAnsi"/>
          <w:lang w:val="en-US" w:eastAsia="zh-CN"/>
        </w:rPr>
      </w:pPr>
    </w:p>
    <w:p w14:paraId="2A140D15">
      <w:pPr>
        <w:pStyle w:val="4"/>
        <w:widowControl/>
        <w:numPr>
          <w:ilvl w:val="0"/>
          <w:numId w:val="2"/>
        </w:numPr>
        <w:spacing w:line="240" w:lineRule="auto"/>
        <w:ind w:left="420" w:hanging="420"/>
        <w:rPr>
          <w:rFonts w:hint="default" w:asciiTheme="minorHAnsi" w:hAnsiTheme="minorHAnsi" w:cstheme="minorHAnsi"/>
          <w:b/>
          <w:bCs/>
          <w:color w:val="000000"/>
          <w:kern w:val="2"/>
          <w:sz w:val="22"/>
          <w:szCs w:val="22"/>
          <w:lang w:bidi="ar"/>
        </w:rPr>
      </w:pPr>
      <w:r>
        <w:rPr>
          <w:rFonts w:asciiTheme="minorHAnsi" w:hAnsiTheme="minorHAnsi" w:cstheme="minorHAnsi"/>
          <w:b/>
          <w:bCs/>
          <w:color w:val="000000"/>
          <w:kern w:val="2"/>
          <w:sz w:val="22"/>
          <w:szCs w:val="22"/>
          <w:lang w:bidi="ar"/>
        </w:rPr>
        <w:t>I</w:t>
      </w:r>
      <w:r>
        <w:rPr>
          <w:rFonts w:hint="default" w:asciiTheme="minorHAnsi" w:hAnsiTheme="minorHAnsi" w:cstheme="minorHAnsi"/>
          <w:b/>
          <w:bCs/>
          <w:color w:val="000000"/>
          <w:kern w:val="2"/>
          <w:sz w:val="22"/>
          <w:szCs w:val="22"/>
          <w:lang w:bidi="ar"/>
        </w:rPr>
        <w:t>ntroduction of</w:t>
      </w:r>
      <w:r>
        <w:rPr>
          <w:rFonts w:asciiTheme="minorHAnsi" w:hAnsiTheme="minorHAnsi" w:cstheme="minorHAnsi"/>
          <w:b/>
          <w:bCs/>
          <w:color w:val="000000"/>
          <w:kern w:val="2"/>
          <w:sz w:val="22"/>
          <w:szCs w:val="22"/>
          <w:lang w:bidi="ar"/>
        </w:rPr>
        <w:t xml:space="preserve"> the</w:t>
      </w:r>
      <w:r>
        <w:rPr>
          <w:rFonts w:hint="default" w:asciiTheme="minorHAnsi" w:hAnsiTheme="minorHAnsi" w:cstheme="minorHAnsi"/>
          <w:b/>
          <w:bCs/>
          <w:color w:val="000000"/>
          <w:kern w:val="2"/>
          <w:sz w:val="22"/>
          <w:szCs w:val="22"/>
          <w:lang w:bidi="ar"/>
        </w:rPr>
        <w:t xml:space="preserve"> IMSAS continuous monitoring mechanism (ICMM)</w:t>
      </w:r>
    </w:p>
    <w:p w14:paraId="5E4699F8">
      <w:pPr>
        <w:pStyle w:val="7"/>
        <w:numPr>
          <w:ilvl w:val="0"/>
          <w:numId w:val="0"/>
        </w:numPr>
        <w:tabs>
          <w:tab w:val="left" w:pos="350"/>
          <w:tab w:val="clear" w:pos="567"/>
        </w:tabs>
        <w:spacing w:after="0"/>
        <w:ind w:left="420" w:firstLine="0"/>
        <w:rPr>
          <w:rFonts w:eastAsia="宋体" w:asciiTheme="minorHAnsi" w:hAnsiTheme="minorHAnsi" w:cstheme="minorHAnsi"/>
          <w:lang w:val="en-US" w:eastAsia="zh-CN"/>
        </w:rPr>
      </w:pPr>
      <w:r>
        <w:rPr>
          <w:rFonts w:eastAsia="宋体" w:asciiTheme="minorHAnsi" w:hAnsiTheme="minorHAnsi" w:cstheme="minorHAnsi"/>
          <w:lang w:val="en-US" w:eastAsia="zh-CN"/>
        </w:rPr>
        <w:t xml:space="preserve">The IMSAS continuous monitoring mechanism (ICMM) will utilize a web-based platform to facilitate the ongoing collection of data related to Member States' compliance. ICMM incorporates a risk-based two-phase evaluation mechanism. During the initial phase, audits will be prioritized based on clear, transparent and objective criteria, that is, Member States will be grouped based on the start date of their audits in the previous audit cycle. Each group will be composed of a number of Member States that can be audited within a two-year period. Within each group, Member States with a lower number of outstanding corrective actions requiring verification would be audited later. </w:t>
      </w:r>
    </w:p>
    <w:p w14:paraId="349B2178">
      <w:pPr>
        <w:pStyle w:val="7"/>
        <w:numPr>
          <w:ilvl w:val="0"/>
          <w:numId w:val="0"/>
        </w:numPr>
        <w:spacing w:after="0"/>
        <w:ind w:left="0" w:firstLine="0" w:firstLineChars="0"/>
        <w:rPr>
          <w:rFonts w:eastAsia="宋体" w:asciiTheme="minorHAnsi" w:hAnsiTheme="minorHAnsi" w:cstheme="minorHAnsi"/>
          <w:lang w:val="en-US" w:eastAsia="zh-CN"/>
        </w:rPr>
      </w:pPr>
    </w:p>
    <w:p w14:paraId="558DB9E6">
      <w:pPr>
        <w:ind w:left="420"/>
        <w:jc w:val="both"/>
        <w:rPr>
          <w:rFonts w:eastAsia="宋体" w:asciiTheme="minorHAnsi" w:hAnsiTheme="minorHAnsi" w:cstheme="minorHAnsi"/>
          <w:lang w:val="en-US" w:eastAsia="zh-CN"/>
        </w:rPr>
      </w:pPr>
      <w:r>
        <w:rPr>
          <w:rFonts w:eastAsia="宋体" w:asciiTheme="minorHAnsi" w:hAnsiTheme="minorHAnsi" w:cstheme="minorHAnsi"/>
          <w:lang w:val="en-US" w:eastAsia="zh-CN"/>
        </w:rPr>
        <w:t xml:space="preserve">The second phase concentrates on critical risk areas through the evaluation of three key indicators i.e., gap analysis tool, verification </w:t>
      </w:r>
      <w:r>
        <w:rPr>
          <w:rFonts w:hint="eastAsia" w:eastAsia="宋体" w:asciiTheme="minorHAnsi" w:hAnsiTheme="minorHAnsi" w:cstheme="minorHAnsi"/>
          <w:lang w:val="en-US" w:eastAsia="zh-CN"/>
        </w:rPr>
        <w:t>i</w:t>
      </w:r>
      <w:r>
        <w:rPr>
          <w:rFonts w:eastAsia="宋体" w:asciiTheme="minorHAnsi" w:hAnsiTheme="minorHAnsi" w:cstheme="minorHAnsi"/>
          <w:lang w:val="en-US" w:eastAsia="zh-CN"/>
        </w:rPr>
        <w:t xml:space="preserve">ndex, and </w:t>
      </w:r>
      <w:r>
        <w:rPr>
          <w:rFonts w:eastAsia="宋体" w:asciiTheme="minorHAnsi" w:hAnsiTheme="minorHAnsi" w:cstheme="minorHAnsi"/>
          <w:color w:val="auto"/>
          <w:lang w:val="en-US" w:eastAsia="zh-CN" w:bidi="ar-SA"/>
        </w:rPr>
        <w:t>State Audit Questionnaire (</w:t>
      </w:r>
      <w:r>
        <w:rPr>
          <w:rFonts w:eastAsia="宋体" w:asciiTheme="minorHAnsi" w:hAnsiTheme="minorHAnsi" w:cstheme="minorHAnsi"/>
          <w:lang w:val="en-US" w:eastAsia="zh-CN"/>
        </w:rPr>
        <w:t>SAQ) indicator. A Member State will qualify for limited on-site audits (LOA) if the average score of the three indicators is above 70% and will then undergo an audit within a reduced scope, where the specific reduced items are determined based on continuous monitoring results, however Part 1 (Common Areas) of the III Code will always be included in an LOA. Whether parts 2, 3 and 4 of the III Code should be included in a</w:t>
      </w:r>
      <w:r>
        <w:rPr>
          <w:rFonts w:hint="eastAsia" w:eastAsia="宋体" w:asciiTheme="minorHAnsi" w:hAnsiTheme="minorHAnsi" w:cstheme="minorHAnsi"/>
          <w:lang w:val="en-US" w:eastAsia="zh-CN"/>
        </w:rPr>
        <w:t>n</w:t>
      </w:r>
      <w:r>
        <w:rPr>
          <w:rFonts w:eastAsia="宋体" w:asciiTheme="minorHAnsi" w:hAnsiTheme="minorHAnsi" w:cstheme="minorHAnsi"/>
          <w:lang w:val="en-US" w:eastAsia="zh-CN"/>
        </w:rPr>
        <w:t xml:space="preserve"> LOA will be decided using a cross-matrix that maps the correspondence between </w:t>
      </w:r>
      <w:r>
        <w:rPr>
          <w:rFonts w:hint="eastAsia" w:eastAsia="宋体" w:asciiTheme="minorHAnsi" w:hAnsiTheme="minorHAnsi" w:cstheme="minorHAnsi"/>
          <w:lang w:val="en-US" w:eastAsia="zh-CN"/>
        </w:rPr>
        <w:t>a non-exhaustive list of obligations (NEL)</w:t>
      </w:r>
      <w:r>
        <w:rPr>
          <w:rFonts w:eastAsia="宋体" w:asciiTheme="minorHAnsi" w:hAnsiTheme="minorHAnsi" w:cstheme="minorHAnsi"/>
          <w:lang w:val="en-US" w:eastAsia="zh-CN"/>
        </w:rPr>
        <w:t xml:space="preserve"> and the III Code.</w:t>
      </w:r>
    </w:p>
    <w:p w14:paraId="3C27EC84">
      <w:pPr>
        <w:jc w:val="both"/>
        <w:rPr>
          <w:rFonts w:eastAsia="宋体" w:asciiTheme="minorHAnsi" w:hAnsiTheme="minorHAnsi" w:cstheme="minorHAnsi"/>
          <w:lang w:val="en-US" w:eastAsia="zh-CN"/>
        </w:rPr>
      </w:pPr>
    </w:p>
    <w:p w14:paraId="3921A198">
      <w:pPr>
        <w:pStyle w:val="7"/>
        <w:numPr>
          <w:ilvl w:val="0"/>
          <w:numId w:val="2"/>
        </w:numPr>
        <w:rPr>
          <w:rFonts w:eastAsia="宋体" w:asciiTheme="minorHAnsi" w:hAnsiTheme="minorHAnsi" w:cstheme="minorHAnsi"/>
          <w:lang w:val="en-US" w:eastAsia="zh-CN"/>
        </w:rPr>
      </w:pPr>
      <w:r>
        <w:rPr>
          <w:rFonts w:eastAsia="宋体" w:asciiTheme="minorHAnsi" w:hAnsiTheme="minorHAnsi" w:cstheme="minorHAnsi"/>
          <w:lang w:val="en-US" w:eastAsia="zh-CN"/>
        </w:rPr>
        <w:t>Other key issues</w:t>
      </w:r>
      <w:r>
        <w:rPr>
          <w:rFonts w:hint="eastAsia" w:eastAsia="宋体" w:asciiTheme="minorHAnsi" w:hAnsiTheme="minorHAnsi" w:cstheme="minorHAnsi"/>
          <w:lang w:val="en-US" w:eastAsia="zh-CN"/>
        </w:rPr>
        <w:t xml:space="preserve"> include:</w:t>
      </w:r>
    </w:p>
    <w:p w14:paraId="5A41136B">
      <w:pPr>
        <w:numPr>
          <w:ilvl w:val="0"/>
          <w:numId w:val="3"/>
        </w:numPr>
        <w:ind w:firstLine="440" w:firstLineChars="200"/>
        <w:jc w:val="both"/>
        <w:rPr>
          <w:rFonts w:eastAsia="宋体" w:asciiTheme="minorHAnsi" w:hAnsiTheme="minorHAnsi" w:cstheme="minorHAnsi"/>
        </w:rPr>
      </w:pPr>
      <w:r>
        <w:rPr>
          <w:rFonts w:eastAsia="宋体" w:asciiTheme="minorHAnsi" w:hAnsiTheme="minorHAnsi" w:cstheme="minorHAnsi"/>
        </w:rPr>
        <w:t xml:space="preserve">extending the second audit cycle to 9 years, effective from 1 July 2027; </w:t>
      </w:r>
    </w:p>
    <w:p w14:paraId="0D92C97D">
      <w:pPr>
        <w:numPr>
          <w:ilvl w:val="0"/>
          <w:numId w:val="3"/>
        </w:numPr>
        <w:ind w:left="880" w:leftChars="200" w:hanging="440" w:hangingChars="200"/>
        <w:jc w:val="both"/>
        <w:rPr>
          <w:rFonts w:eastAsia="宋体" w:asciiTheme="minorHAnsi" w:hAnsiTheme="minorHAnsi" w:cstheme="minorHAnsi"/>
        </w:rPr>
      </w:pPr>
      <w:r>
        <w:rPr>
          <w:rFonts w:hint="eastAsia" w:eastAsia="宋体" w:asciiTheme="minorHAnsi" w:hAnsiTheme="minorHAnsi" w:cstheme="minorHAnsi"/>
          <w:lang w:val="en-US" w:eastAsia="zh-CN"/>
        </w:rPr>
        <w:t>merging the P</w:t>
      </w:r>
      <w:r>
        <w:rPr>
          <w:rFonts w:eastAsia="宋体" w:asciiTheme="minorHAnsi" w:hAnsiTheme="minorHAnsi" w:cstheme="minorHAnsi"/>
        </w:rPr>
        <w:t>re-</w:t>
      </w:r>
      <w:r>
        <w:rPr>
          <w:rFonts w:hint="eastAsia" w:eastAsia="宋体" w:asciiTheme="minorHAnsi" w:hAnsiTheme="minorHAnsi" w:cstheme="minorHAnsi"/>
          <w:lang w:val="en-US" w:eastAsia="zh-CN"/>
        </w:rPr>
        <w:t>A</w:t>
      </w:r>
      <w:r>
        <w:rPr>
          <w:rFonts w:eastAsia="宋体" w:asciiTheme="minorHAnsi" w:hAnsiTheme="minorHAnsi" w:cstheme="minorHAnsi"/>
        </w:rPr>
        <w:t xml:space="preserve">udit </w:t>
      </w:r>
      <w:r>
        <w:rPr>
          <w:rFonts w:hint="eastAsia" w:eastAsia="宋体" w:asciiTheme="minorHAnsi" w:hAnsiTheme="minorHAnsi" w:cstheme="minorHAnsi"/>
          <w:lang w:val="en-US" w:eastAsia="zh-CN"/>
        </w:rPr>
        <w:t>Q</w:t>
      </w:r>
      <w:r>
        <w:rPr>
          <w:rFonts w:eastAsia="宋体" w:asciiTheme="minorHAnsi" w:hAnsiTheme="minorHAnsi" w:cstheme="minorHAnsi"/>
        </w:rPr>
        <w:t>uestionnaire (PAQ)</w:t>
      </w:r>
      <w:r>
        <w:rPr>
          <w:rFonts w:eastAsia="宋体" w:asciiTheme="minorHAnsi" w:hAnsiTheme="minorHAnsi" w:cstheme="minorHAnsi"/>
          <w:lang w:eastAsia="zh-CN"/>
        </w:rPr>
        <w:t xml:space="preserve"> </w:t>
      </w:r>
      <w:r>
        <w:rPr>
          <w:rFonts w:eastAsia="宋体" w:asciiTheme="minorHAnsi" w:hAnsiTheme="minorHAnsi" w:cstheme="minorHAnsi"/>
        </w:rPr>
        <w:t xml:space="preserve">and </w:t>
      </w:r>
      <w:r>
        <w:rPr>
          <w:rFonts w:hint="eastAsia" w:eastAsia="宋体" w:asciiTheme="minorHAnsi" w:hAnsiTheme="minorHAnsi" w:cstheme="minorHAnsi"/>
          <w:lang w:val="en-US" w:eastAsia="zh-CN"/>
        </w:rPr>
        <w:t>Additional Pre-Audit Information (</w:t>
      </w:r>
      <w:r>
        <w:rPr>
          <w:rFonts w:eastAsia="宋体" w:asciiTheme="minorHAnsi" w:hAnsiTheme="minorHAnsi" w:cstheme="minorHAnsi"/>
        </w:rPr>
        <w:t>APAI</w:t>
      </w:r>
      <w:r>
        <w:rPr>
          <w:rFonts w:hint="eastAsia" w:eastAsia="宋体" w:asciiTheme="minorHAnsi" w:hAnsiTheme="minorHAnsi" w:cstheme="minorHAnsi"/>
          <w:lang w:val="en-US" w:eastAsia="zh-CN"/>
        </w:rPr>
        <w:t>)</w:t>
      </w:r>
      <w:r>
        <w:rPr>
          <w:rFonts w:eastAsia="宋体" w:asciiTheme="minorHAnsi" w:hAnsiTheme="minorHAnsi" w:cstheme="minorHAnsi"/>
        </w:rPr>
        <w:t xml:space="preserve"> into</w:t>
      </w:r>
      <w:r>
        <w:rPr>
          <w:rFonts w:hint="eastAsia" w:eastAsia="宋体" w:asciiTheme="minorHAnsi" w:hAnsiTheme="minorHAnsi" w:cstheme="minorHAnsi"/>
          <w:lang w:val="en-US" w:eastAsia="zh-CN"/>
        </w:rPr>
        <w:t xml:space="preserve"> the</w:t>
      </w:r>
      <w:r>
        <w:rPr>
          <w:rFonts w:eastAsia="宋体" w:asciiTheme="minorHAnsi" w:hAnsiTheme="minorHAnsi" w:cstheme="minorHAnsi"/>
        </w:rPr>
        <w:t xml:space="preserve"> State audit questionnaire (SAQ) </w:t>
      </w:r>
      <w:r>
        <w:rPr>
          <w:rFonts w:hint="eastAsia" w:eastAsia="宋体" w:asciiTheme="minorHAnsi" w:hAnsiTheme="minorHAnsi" w:cstheme="minorHAnsi"/>
          <w:lang w:eastAsia="zh-CN"/>
        </w:rPr>
        <w:t>to streamline</w:t>
      </w:r>
      <w:r>
        <w:rPr>
          <w:rFonts w:eastAsia="宋体" w:asciiTheme="minorHAnsi" w:hAnsiTheme="minorHAnsi" w:cstheme="minorHAnsi"/>
        </w:rPr>
        <w:t xml:space="preserve"> </w:t>
      </w:r>
      <w:r>
        <w:rPr>
          <w:rFonts w:hint="eastAsia" w:eastAsia="宋体" w:asciiTheme="minorHAnsi" w:hAnsiTheme="minorHAnsi" w:cstheme="minorHAnsi"/>
          <w:lang w:val="en-US" w:eastAsia="zh-CN"/>
        </w:rPr>
        <w:t>P</w:t>
      </w:r>
      <w:r>
        <w:rPr>
          <w:rFonts w:eastAsia="宋体" w:asciiTheme="minorHAnsi" w:hAnsiTheme="minorHAnsi" w:cstheme="minorHAnsi"/>
        </w:rPr>
        <w:t>re-audit process</w:t>
      </w:r>
      <w:r>
        <w:rPr>
          <w:rFonts w:hint="eastAsia" w:eastAsia="宋体" w:asciiTheme="minorHAnsi" w:hAnsiTheme="minorHAnsi" w:cstheme="minorHAnsi"/>
          <w:lang w:val="en-US" w:eastAsia="zh-CN"/>
        </w:rPr>
        <w:t>es</w:t>
      </w:r>
      <w:r>
        <w:rPr>
          <w:rFonts w:eastAsia="宋体" w:asciiTheme="minorHAnsi" w:hAnsiTheme="minorHAnsi" w:cstheme="minorHAnsi"/>
        </w:rPr>
        <w:t xml:space="preserve"> and </w:t>
      </w:r>
      <w:r>
        <w:rPr>
          <w:rFonts w:hint="eastAsia" w:eastAsia="宋体" w:asciiTheme="minorHAnsi" w:hAnsiTheme="minorHAnsi" w:cstheme="minorHAnsi"/>
          <w:lang w:val="en-US" w:eastAsia="zh-CN"/>
        </w:rPr>
        <w:t xml:space="preserve">reduce </w:t>
      </w:r>
      <w:r>
        <w:rPr>
          <w:rFonts w:eastAsia="宋体" w:asciiTheme="minorHAnsi" w:hAnsiTheme="minorHAnsi" w:cstheme="minorHAnsi"/>
        </w:rPr>
        <w:t xml:space="preserve">redundancy; </w:t>
      </w:r>
    </w:p>
    <w:p w14:paraId="53487D2D">
      <w:pPr>
        <w:numPr>
          <w:ilvl w:val="0"/>
          <w:numId w:val="3"/>
        </w:numPr>
        <w:ind w:firstLine="440" w:firstLineChars="200"/>
        <w:jc w:val="both"/>
        <w:rPr>
          <w:rFonts w:eastAsia="宋体" w:asciiTheme="minorHAnsi" w:hAnsiTheme="minorHAnsi" w:cstheme="minorHAnsi"/>
        </w:rPr>
      </w:pPr>
      <w:r>
        <w:rPr>
          <w:rFonts w:eastAsia="宋体" w:asciiTheme="minorHAnsi" w:hAnsiTheme="minorHAnsi" w:cstheme="minorHAnsi"/>
        </w:rPr>
        <w:t xml:space="preserve">incorporating auditing experience into </w:t>
      </w:r>
      <w:r>
        <w:rPr>
          <w:rFonts w:hint="eastAsia" w:eastAsia="宋体" w:asciiTheme="minorHAnsi" w:hAnsiTheme="minorHAnsi" w:cstheme="minorHAnsi"/>
          <w:lang w:val="en-US" w:eastAsia="zh-CN"/>
        </w:rPr>
        <w:t xml:space="preserve">the </w:t>
      </w:r>
      <w:r>
        <w:rPr>
          <w:rFonts w:eastAsia="宋体" w:asciiTheme="minorHAnsi" w:hAnsiTheme="minorHAnsi" w:cstheme="minorHAnsi"/>
        </w:rPr>
        <w:t>nomination criteria of auditors;</w:t>
      </w:r>
    </w:p>
    <w:p w14:paraId="1EF70D1A">
      <w:pPr>
        <w:numPr>
          <w:ilvl w:val="0"/>
          <w:numId w:val="3"/>
        </w:numPr>
        <w:ind w:firstLine="440" w:firstLineChars="200"/>
        <w:jc w:val="both"/>
        <w:rPr>
          <w:rFonts w:eastAsia="宋体" w:asciiTheme="minorHAnsi" w:hAnsiTheme="minorHAnsi" w:cstheme="minorHAnsi"/>
        </w:rPr>
      </w:pPr>
      <w:r>
        <w:rPr>
          <w:rFonts w:eastAsia="宋体" w:asciiTheme="minorHAnsi" w:hAnsiTheme="minorHAnsi" w:cstheme="minorHAnsi"/>
        </w:rPr>
        <w:t>revising the responsibilities of the Secretariat, Member States, and audit team leader</w:t>
      </w:r>
      <w:r>
        <w:rPr>
          <w:rFonts w:eastAsia="宋体" w:asciiTheme="minorHAnsi" w:hAnsiTheme="minorHAnsi" w:cstheme="minorHAnsi"/>
          <w:lang w:eastAsia="zh-CN"/>
        </w:rPr>
        <w:t>s</w:t>
      </w:r>
      <w:r>
        <w:rPr>
          <w:rFonts w:eastAsia="宋体" w:asciiTheme="minorHAnsi" w:hAnsiTheme="minorHAnsi" w:cstheme="minorHAnsi"/>
        </w:rPr>
        <w:t xml:space="preserve">; </w:t>
      </w:r>
    </w:p>
    <w:p w14:paraId="06BE6B8D">
      <w:pPr>
        <w:numPr>
          <w:ilvl w:val="0"/>
          <w:numId w:val="3"/>
        </w:numPr>
        <w:ind w:firstLine="440" w:firstLineChars="200"/>
        <w:jc w:val="both"/>
        <w:rPr>
          <w:rFonts w:eastAsia="宋体" w:asciiTheme="minorHAnsi" w:hAnsiTheme="minorHAnsi" w:cstheme="minorHAnsi"/>
        </w:rPr>
      </w:pPr>
      <w:r>
        <w:rPr>
          <w:rFonts w:eastAsia="宋体" w:asciiTheme="minorHAnsi" w:hAnsiTheme="minorHAnsi" w:cstheme="minorHAnsi"/>
        </w:rPr>
        <w:t>introducing Form D</w:t>
      </w:r>
      <w:r>
        <w:rPr>
          <w:rFonts w:hint="eastAsia" w:eastAsia="宋体" w:asciiTheme="minorHAnsi" w:hAnsiTheme="minorHAnsi" w:cstheme="minorHAnsi"/>
          <w:lang w:val="en-US" w:eastAsia="zh-CN"/>
        </w:rPr>
        <w:t xml:space="preserve"> </w:t>
      </w:r>
      <w:r>
        <w:rPr>
          <w:rFonts w:eastAsia="宋体" w:asciiTheme="minorHAnsi" w:hAnsiTheme="minorHAnsi" w:cstheme="minorHAnsi"/>
          <w:lang w:eastAsia="zh-CN"/>
        </w:rPr>
        <w:t>-</w:t>
      </w:r>
      <w:r>
        <w:rPr>
          <w:rFonts w:hint="eastAsia" w:eastAsia="宋体" w:asciiTheme="minorHAnsi" w:hAnsiTheme="minorHAnsi" w:cstheme="minorHAnsi"/>
          <w:lang w:val="en-US" w:eastAsia="zh-CN"/>
        </w:rPr>
        <w:t xml:space="preserve"> </w:t>
      </w:r>
      <w:r>
        <w:rPr>
          <w:rFonts w:eastAsia="宋体" w:asciiTheme="minorHAnsi" w:hAnsiTheme="minorHAnsi" w:cstheme="minorHAnsi"/>
        </w:rPr>
        <w:t>Report on the progress of implementation of corrective action plan; and</w:t>
      </w:r>
    </w:p>
    <w:p w14:paraId="5230B02D">
      <w:pPr>
        <w:numPr>
          <w:ilvl w:val="0"/>
          <w:numId w:val="3"/>
        </w:numPr>
        <w:ind w:firstLine="440" w:firstLineChars="200"/>
        <w:jc w:val="both"/>
        <w:rPr>
          <w:rFonts w:eastAsia="宋体" w:asciiTheme="minorHAnsi" w:hAnsiTheme="minorHAnsi" w:cstheme="minorHAnsi"/>
        </w:rPr>
      </w:pPr>
      <w:r>
        <w:rPr>
          <w:rFonts w:eastAsia="宋体" w:asciiTheme="minorHAnsi" w:hAnsiTheme="minorHAnsi" w:cstheme="minorHAnsi"/>
        </w:rPr>
        <w:t>making necessary amendments to Appendix 1</w:t>
      </w:r>
      <w:r>
        <w:rPr>
          <w:rFonts w:hint="eastAsia" w:eastAsia="宋体" w:asciiTheme="minorHAnsi" w:hAnsiTheme="minorHAnsi" w:cstheme="minorHAnsi"/>
          <w:lang w:val="en-US" w:eastAsia="zh-CN"/>
        </w:rPr>
        <w:t>-</w:t>
      </w:r>
      <w:r>
        <w:rPr>
          <w:rFonts w:eastAsia="宋体" w:asciiTheme="minorHAnsi" w:hAnsiTheme="minorHAnsi" w:cstheme="minorHAnsi"/>
        </w:rPr>
        <w:t xml:space="preserve"> Model Memorandum of</w:t>
      </w:r>
      <w:r>
        <w:rPr>
          <w:rFonts w:eastAsia="宋体" w:asciiTheme="minorHAnsi" w:hAnsiTheme="minorHAnsi" w:cstheme="minorHAnsi"/>
          <w:lang w:val="en-US" w:eastAsia="zh-CN"/>
        </w:rPr>
        <w:t xml:space="preserve"> </w:t>
      </w:r>
      <w:r>
        <w:rPr>
          <w:rFonts w:eastAsia="宋体" w:asciiTheme="minorHAnsi" w:hAnsiTheme="minorHAnsi" w:cstheme="minorHAnsi"/>
        </w:rPr>
        <w:t>Cooperation.</w:t>
      </w:r>
    </w:p>
    <w:p w14:paraId="30E391C7">
      <w:pPr>
        <w:rPr>
          <w:rFonts w:eastAsia="宋体" w:asciiTheme="minorHAnsi" w:hAnsiTheme="minorHAnsi" w:cstheme="minorHAnsi"/>
          <w:lang w:eastAsia="zh-CN"/>
        </w:rPr>
      </w:pPr>
    </w:p>
    <w:p w14:paraId="255C5A8F"/>
    <w:sectPr>
      <w:headerReference r:id="rId3" w:type="default"/>
      <w:footerReference r:id="rId4" w:type="default"/>
      <w:pgSz w:w="11906" w:h="16838"/>
      <w:pgMar w:top="1134" w:right="1134"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MS Mincho">
    <w:altName w:val="Yu Gothic UI"/>
    <w:panose1 w:val="02020609040205080304"/>
    <w:charset w:val="80"/>
    <w:family w:val="modern"/>
    <w:pitch w:val="default"/>
    <w:sig w:usb0="00000000" w:usb1="00000000" w:usb2="08000012" w:usb3="00000000" w:csb0="0002009F" w:csb1="00000000"/>
  </w:font>
  <w:font w:name="ＭＳ 明朝">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80317">
    <w:pPr>
      <w:pStyle w:val="2"/>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2</w:t>
    </w:r>
    <w:r>
      <w:rPr>
        <w:rFonts w:ascii="Calibri" w:hAnsi="Calibri"/>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E588C">
    <w:pPr>
      <w:pStyle w:val="3"/>
      <w:jc w:val="right"/>
    </w:pPr>
    <w:r>
      <w:drawing>
        <wp:anchor distT="0" distB="0" distL="114300" distR="114300" simplePos="0" relativeHeight="251659264" behindDoc="0" locked="0" layoutInCell="1" allowOverlap="1">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1"/>
                  <a:stretch>
                    <a:fillRect/>
                  </a:stretch>
                </pic:blipFill>
                <pic:spPr>
                  <a:xfrm>
                    <a:off x="0" y="0"/>
                    <a:ext cx="574675" cy="560070"/>
                  </a:xfrm>
                  <a:prstGeom prst="rect">
                    <a:avLst/>
                  </a:prstGeom>
                  <a:noFill/>
                  <a:ln>
                    <a:noFill/>
                  </a:ln>
                </pic:spPr>
              </pic:pic>
            </a:graphicData>
          </a:graphic>
        </wp:anchor>
      </w:drawing>
    </w:r>
    <w:r>
      <w:pict>
        <v:shape id="PowerPlusWaterMarkObject79770658" o:spid="_x0000_s3073" o:spt="136" type="#_x0000_t136" style="position:absolute;left:0pt;height:65.65pt;width:623.8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IALA Working Document" style="font-family:Arial;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041789"/>
    <w:multiLevelType w:val="multilevel"/>
    <w:tmpl w:val="44041789"/>
    <w:lvl w:ilvl="0" w:tentative="0">
      <w:start w:val="1"/>
      <w:numFmt w:val="decimal"/>
      <w:pStyle w:val="7"/>
      <w:lvlText w:val="%1"/>
      <w:lvlJc w:val="left"/>
      <w:pPr>
        <w:tabs>
          <w:tab w:val="left" w:pos="567"/>
        </w:tabs>
        <w:ind w:left="567" w:hanging="567"/>
      </w:pPr>
      <w:rPr>
        <w:rFonts w:hint="default" w:ascii="Arial" w:hAnsi="Arial"/>
        <w:b w:val="0"/>
        <w:i w:val="0"/>
        <w:sz w:val="22"/>
        <w:szCs w:val="22"/>
      </w:rPr>
    </w:lvl>
    <w:lvl w:ilvl="1" w:tentative="0">
      <w:start w:val="1"/>
      <w:numFmt w:val="lowerLetter"/>
      <w:lvlText w:val="%2."/>
      <w:lvlJc w:val="left"/>
      <w:pPr>
        <w:tabs>
          <w:tab w:val="left" w:pos="1134"/>
        </w:tabs>
        <w:ind w:left="1134" w:hanging="567"/>
      </w:pPr>
      <w:rPr>
        <w:rFonts w:hint="default"/>
      </w:rPr>
    </w:lvl>
    <w:lvl w:ilvl="2" w:tentative="0">
      <w:start w:val="1"/>
      <w:numFmt w:val="lowerRoman"/>
      <w:lvlText w:val="%3."/>
      <w:lvlJc w:val="left"/>
      <w:pPr>
        <w:tabs>
          <w:tab w:val="left" w:pos="1701"/>
        </w:tabs>
        <w:ind w:left="1701" w:hanging="567"/>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1">
    <w:nsid w:val="7D060636"/>
    <w:multiLevelType w:val="singleLevel"/>
    <w:tmpl w:val="7D060636"/>
    <w:lvl w:ilvl="0" w:tentative="0">
      <w:start w:val="1"/>
      <w:numFmt w:val="decimal"/>
      <w:suff w:val="nothing"/>
      <w:lvlText w:val="%1．"/>
      <w:lvlJc w:val="left"/>
      <w:pPr>
        <w:ind w:left="0" w:firstLine="400"/>
      </w:pPr>
      <w:rPr>
        <w:rFonts w:hint="default"/>
      </w:rPr>
    </w:lvl>
  </w:abstractNum>
  <w:abstractNum w:abstractNumId="2">
    <w:nsid w:val="7EBBC7B0"/>
    <w:multiLevelType w:val="singleLevel"/>
    <w:tmpl w:val="7EBBC7B0"/>
    <w:lvl w:ilvl="0" w:tentative="0">
      <w:start w:val="1"/>
      <w:numFmt w:val="bullet"/>
      <w:lvlText w:val=""/>
      <w:lvlJc w:val="left"/>
      <w:pPr>
        <w:ind w:left="42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trackRevisions w:val="1"/>
  <w:documentProtection w:enforcement="0"/>
  <w:defaultTabStop w:val="420"/>
  <w:drawingGridVerticalSpacing w:val="156"/>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636"/>
    <w:rsid w:val="00614761"/>
    <w:rsid w:val="00863252"/>
    <w:rsid w:val="00BF5A23"/>
    <w:rsid w:val="00D11636"/>
    <w:rsid w:val="0B944EF6"/>
    <w:rsid w:val="1B79633D"/>
    <w:rsid w:val="441A3AB2"/>
    <w:rsid w:val="51D33852"/>
    <w:rsid w:val="58234DAE"/>
    <w:rsid w:val="5B3E2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Arial" w:hAnsi="Arial" w:eastAsia="Calibri" w:cs="Calibri"/>
      <w:sz w:val="22"/>
      <w:szCs w:val="22"/>
      <w:lang w:val="en-GB" w:eastAsia="en-GB"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820"/>
        <w:tab w:val="right" w:pos="9639"/>
      </w:tabs>
    </w:pPr>
  </w:style>
  <w:style w:type="paragraph" w:styleId="3">
    <w:name w:val="header"/>
    <w:basedOn w:val="1"/>
    <w:qFormat/>
    <w:uiPriority w:val="0"/>
    <w:pPr>
      <w:tabs>
        <w:tab w:val="center" w:pos="4820"/>
        <w:tab w:val="right" w:pos="9639"/>
      </w:tabs>
    </w:pPr>
  </w:style>
  <w:style w:type="paragraph" w:styleId="4">
    <w:name w:val="HTML Preformatted"/>
    <w:basedOn w:val="1"/>
    <w:qFormat/>
    <w:uiPriority w:val="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sz w:val="24"/>
      <w:szCs w:val="24"/>
      <w:lang w:val="en-US" w:eastAsia="zh-CN"/>
    </w:rPr>
  </w:style>
  <w:style w:type="paragraph" w:customStyle="1" w:styleId="7">
    <w:name w:val="List 1"/>
    <w:basedOn w:val="1"/>
    <w:qFormat/>
    <w:uiPriority w:val="0"/>
    <w:pPr>
      <w:numPr>
        <w:ilvl w:val="0"/>
        <w:numId w:val="1"/>
      </w:numPr>
      <w:spacing w:after="120"/>
      <w:jc w:val="both"/>
    </w:pPr>
    <w:rPr>
      <w:rFonts w:eastAsia="MS Mincho"/>
      <w:lang w:eastAsia="ja-JP"/>
    </w:rPr>
  </w:style>
  <w:style w:type="paragraph" w:customStyle="1" w:styleId="8">
    <w:name w:val="Revision"/>
    <w:hidden/>
    <w:unhideWhenUsed/>
    <w:uiPriority w:val="99"/>
    <w:rPr>
      <w:rFonts w:ascii="Arial" w:hAnsi="Arial" w:eastAsia="Calibri" w:cs="Calibri"/>
      <w:sz w:val="22"/>
      <w:szCs w:val="22"/>
      <w:lang w:val="en-GB" w:eastAsia="en-GB"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header" Target="header1.xml"/><Relationship Id="rId7" Type="http://schemas.openxmlformats.org/officeDocument/2006/relationships/numbering" Target="numbering.xml"/><Relationship Id="rId2" Type="http://schemas.openxmlformats.org/officeDocument/2006/relationships/settings" Target="settings.xml"/><Relationship Id="rId6" Type="http://schemas.openxmlformats.org/officeDocument/2006/relationships/customXml" Target="../customXml/item1.xml"/><Relationship Id="rId1" Type="http://schemas.openxmlformats.org/officeDocument/2006/relationships/styles" Target="styles.xml"/><Relationship Id="rId11" Type="http://schemas.openxmlformats.org/officeDocument/2006/relationships/customXml" Target="../customXml/item4.xml"/><Relationship Id="rId5" Type="http://schemas.openxmlformats.org/officeDocument/2006/relationships/theme" Target="theme/theme1.xml"/><Relationship Id="rId10" Type="http://schemas.openxmlformats.org/officeDocument/2006/relationships/customXml" Target="../customXml/item3.xml"/><Relationship Id="rId4" Type="http://schemas.openxmlformats.org/officeDocument/2006/relationships/footer" Target="footer1.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74BF0D-C9E5-4C1A-997E-3D346BDF166A}"/>
</file>

<file path=customXml/itemProps3.xml><?xml version="1.0" encoding="utf-8"?>
<ds:datastoreItem xmlns:ds="http://schemas.openxmlformats.org/officeDocument/2006/customXml" ds:itemID="{97CCCDFD-503D-4701-B6B2-0FD0D3D8DE00}"/>
</file>

<file path=customXml/itemProps4.xml><?xml version="1.0" encoding="utf-8"?>
<ds:datastoreItem xmlns:ds="http://schemas.openxmlformats.org/officeDocument/2006/customXml" ds:itemID="{AC7EB656-8AD0-4705-ADA6-7AE60BF8005C}"/>
</file>

<file path=docProps/app.xml><?xml version="1.0" encoding="utf-8"?>
<Properties xmlns="http://schemas.openxmlformats.org/officeDocument/2006/extended-properties" xmlns:vt="http://schemas.openxmlformats.org/officeDocument/2006/docPropsVTypes">
  <Template>Normal.dotm</Template>
  <Pages>1</Pages>
  <Words>554</Words>
  <Characters>3041</Characters>
  <Lines>25</Lines>
  <Paragraphs>7</Paragraphs>
  <TotalTime>60</TotalTime>
  <ScaleCrop>false</ScaleCrop>
  <LinksUpToDate>false</LinksUpToDate>
  <CharactersWithSpaces>3586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SMG</cp:lastModifiedBy>
  <cp:revision>2</cp:revision>
  <dcterms:created xsi:type="dcterms:W3CDTF">2025-07-28T02:08:00Z</dcterms:created>
  <dcterms:modified xsi:type="dcterms:W3CDTF">2025-08-12T02:20:57Z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eyJoZGlkIjoiOGJmMDA2NGQyMzZlNjM5MzA0YmFjNTc5NjdkZmMxODQiLCJ1c2VySWQiOiI0Mjk3MjUwMjkifQ==</vt:lpwstr>
  </property>
  <property fmtid="{D5CDD505-2E9C-101B-9397-08002B2CF9AE}" pid="4" name="ICV">
    <vt:lpwstr>C432DBE0A5DB49FF82C6BA6963AE1F74_12</vt:lpwstr>
  </property>
  <property fmtid="{D5CDD505-2E9C-101B-9397-08002B2CF9AE}" pid="5" name="ContentTypeId">
    <vt:lpwstr>0x010100FB4C6AB7F4ADAA4ABC48D93214FE8FD2</vt:lpwstr>
  </property>
</Properties>
</file>